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Calibri" w:hAnsi="Calibri" w:asciiTheme="minorHAnsi" w:hAnsiTheme="minorHAnsi"/>
          <w:b/>
          <w:b/>
          <w:bCs/>
          <w:color w:val="00000A"/>
        </w:rPr>
      </w:pPr>
      <w:r>
        <w:rPr>
          <w:rFonts w:ascii="Calibri" w:hAnsi="Calibri" w:asciiTheme="minorHAnsi" w:hAnsiTheme="minorHAnsi"/>
          <w:b/>
          <w:bCs/>
          <w:color w:val="00000A"/>
        </w:rPr>
        <w:t>„</w:t>
      </w:r>
      <w:r>
        <w:rPr>
          <w:rFonts w:ascii="Calibri" w:hAnsi="Calibri" w:asciiTheme="minorHAnsi" w:hAnsiTheme="minorHAnsi"/>
          <w:b/>
          <w:bCs/>
          <w:color w:val="00000A"/>
        </w:rPr>
        <w:t>Kompetencje dla rozwoju sektora ochrony zdrowia”</w:t>
      </w:r>
    </w:p>
    <w:p>
      <w:pPr>
        <w:pStyle w:val="Normal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Projekt jest współfinasowany ze środków Europejskiego Funduszu Społecznego w ramach Programu Operacyjnego Wiedza Edukacja Rozwój 2014-2020 Działanie 5.2.</w:t>
      </w:r>
    </w:p>
    <w:p>
      <w:pPr>
        <w:pStyle w:val="Normal"/>
        <w:spacing w:lineRule="auto" w:line="240" w:beforeAutospacing="1" w:afterAutospacing="1"/>
        <w:jc w:val="center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Wartość projektu: 1 563 048,00 zł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CEL GŁÓWNY PROJEKTU: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zwiększenie zdolności analitycznych i umiejętności w zakresie audytu wewnętrznego u grupy 1050 osób (650K, 400 M) pracowników administracyjnych i zarządzających podmiotami leczniczymi, jak również przedstawicieli płatnika i podmiotów tworzących do końca lutego 2019 r., zamieszkujących obszar całej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Polski.</w:t>
      </w:r>
      <w:r>
        <w:rPr>
          <w:rFonts w:eastAsia="Times New Roman"/>
          <w:sz w:val="24"/>
          <w:szCs w:val="24"/>
          <w:lang w:eastAsia="pl-PL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rFonts w:ascii="Calibri" w:hAnsi="Calibri" w:eastAsia="Times New Roman" w:asciiTheme="minorHAnsi" w:hAnsiTheme="minorHAnsi"/>
          <w:b/>
          <w:b/>
          <w:bCs/>
          <w:sz w:val="27"/>
          <w:szCs w:val="27"/>
          <w:lang w:eastAsia="pl-PL"/>
        </w:rPr>
      </w:pPr>
      <w:r>
        <w:rPr>
          <w:rFonts w:eastAsia="Times New Roman"/>
          <w:b/>
          <w:bCs/>
          <w:sz w:val="27"/>
          <w:szCs w:val="27"/>
          <w:lang w:eastAsia="pl-PL"/>
        </w:rPr>
        <w:t>Zapraszamy do zapoznania się z programami szkoleń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>
          <w:color w:val="000000"/>
        </w:rPr>
      </w:pPr>
      <w:hyperlink r:id="rId2">
        <w:bookmarkStart w:id="0" w:name="_GoBack"/>
        <w:bookmarkEnd w:id="0"/>
        <w:r>
          <w:rPr>
            <w:rStyle w:val="Czeinternetowe"/>
            <w:rFonts w:eastAsia="Times New Roman"/>
            <w:bCs/>
            <w:color w:val="000000"/>
            <w:sz w:val="27"/>
            <w:szCs w:val="27"/>
            <w:lang w:eastAsia="pl-PL"/>
          </w:rPr>
          <w:t>Program 1</w:t>
        </w:r>
      </w:hyperlink>
      <w:r>
        <w:rPr>
          <w:rFonts w:eastAsia="Times New Roman"/>
          <w:bCs/>
          <w:color w:val="000000"/>
          <w:sz w:val="27"/>
          <w:szCs w:val="27"/>
          <w:lang w:eastAsia="pl-PL"/>
        </w:rPr>
        <w:t xml:space="preserve"> - </w:t>
      </w:r>
      <w:hyperlink r:id="rId3">
        <w:r>
          <w:rPr>
            <w:rStyle w:val="Czeinternetowe"/>
            <w:rFonts w:eastAsia="Times New Roman"/>
            <w:bCs/>
            <w:color w:val="000000"/>
            <w:sz w:val="27"/>
            <w:szCs w:val="27"/>
            <w:lang w:eastAsia="pl-PL"/>
          </w:rPr>
          <w:t>Program 2</w:t>
        </w:r>
      </w:hyperlink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</w:t>
        <w:tab/>
        <w:t xml:space="preserve">W ramach projektu zaplanowane zostały następujące rodzaje działań: </w:t>
      </w:r>
    </w:p>
    <w:p>
      <w:pPr>
        <w:pStyle w:val="Normal"/>
        <w:spacing w:lineRule="auto" w:line="240" w:beforeAutospacing="1" w:afterAutospacing="1"/>
        <w:ind w:left="705" w:hanging="705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a)</w:t>
        <w:tab/>
        <w:t>Szkolenie pt. "Zarządzanie małą placówką medyczną" składające się z dwóch niezależnych bloków szkoleniowych: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BLOK I Zarządzanie ryzykiem w małej placówce leczniczej 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(2 dni po 8h lekcyjnych)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BLOK II Zarządzanie rozwojem małej placówki medycznej w kontekście zmian systemowych </w:t>
      </w:r>
    </w:p>
    <w:p>
      <w:pPr>
        <w:pStyle w:val="Normal"/>
        <w:spacing w:lineRule="auto" w:line="240" w:before="0" w:after="0"/>
        <w:ind w:firstLine="708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(2 dni po 8h lekcyjnych)</w:t>
      </w:r>
    </w:p>
    <w:p>
      <w:pPr>
        <w:pStyle w:val="Normal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b)</w:t>
        <w:tab/>
        <w:t>Walidacja umiejętności nabytych podczas szkoleń (ankieta online 3 miesiące po przeprowadzonym szkoleniu sprawdzająca praktyczny aspekt pozyskanej wiedzy).</w:t>
      </w:r>
    </w:p>
    <w:p>
      <w:pPr>
        <w:pStyle w:val="Normal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Udział w projekcie jest bezpłatny.</w:t>
      </w:r>
    </w:p>
    <w:p>
      <w:pPr>
        <w:pStyle w:val="Normal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Szczegółowe informacje o projekcie i warunkach uczestnictwa zawiera Regulamin rekrutacji i uczestnictwa w projekcie.</w:t>
      </w:r>
    </w:p>
    <w:tbl>
      <w:tblPr>
        <w:tblW w:w="7025" w:type="dxa"/>
        <w:jc w:val="center"/>
        <w:tblInd w:w="0" w:type="dxa"/>
        <w:tblBorders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6493"/>
        <w:gridCol w:w="531"/>
      </w:tblGrid>
      <w:tr>
        <w:trPr/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hyperlink r:id="rId4">
              <w:r>
                <w:rPr>
                  <w:rStyle w:val="Czeinternetowe"/>
                  <w:rFonts w:eastAsia="Times New Roman"/>
                  <w:sz w:val="24"/>
                  <w:szCs w:val="24"/>
                  <w:lang w:eastAsia="pl-PL"/>
                </w:rPr>
                <w:t>Regulamin rekrutacji i uczestnictwa</w:t>
              </w:r>
            </w:hyperlink>
          </w:p>
        </w:tc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alibri" w:hAnsi="Calibri" w:eastAsia="Times New Roman"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hyperlink r:id="rId5">
              <w:r>
                <w:rPr>
                  <w:rStyle w:val="Czeinternetowe"/>
                  <w:rFonts w:eastAsia="Times New Roman"/>
                  <w:sz w:val="24"/>
                  <w:szCs w:val="24"/>
                  <w:lang w:eastAsia="pl-PL"/>
                </w:rPr>
                <w:t>Harmonogram szkoleń do końca roku 2017</w:t>
              </w:r>
            </w:hyperlink>
          </w:p>
        </w:tc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alibri" w:hAnsi="Calibri" w:eastAsia="Times New Roman"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hyperlink r:id="rId6">
              <w:r>
                <w:rPr>
                  <w:rStyle w:val="Czeinternetowe"/>
                  <w:rFonts w:eastAsia="Times New Roman"/>
                  <w:sz w:val="24"/>
                  <w:szCs w:val="24"/>
                  <w:lang w:eastAsia="pl-PL"/>
                </w:rPr>
                <w:t>Formularz rekrutacyjny wraz z oświadczeniami</w:t>
              </w:r>
            </w:hyperlink>
          </w:p>
          <w:p>
            <w:pPr>
              <w:pStyle w:val="Normal"/>
              <w:spacing w:lineRule="auto" w:line="240" w:beforeAutospacing="1" w:afterAutospacing="1"/>
              <w:rPr/>
            </w:pPr>
            <w:hyperlink r:id="rId7">
              <w:r>
                <w:rPr>
                  <w:rStyle w:val="Czeinternetowe"/>
                  <w:rFonts w:eastAsia="Times New Roman"/>
                  <w:sz w:val="24"/>
                  <w:szCs w:val="24"/>
                  <w:lang w:eastAsia="pl-PL"/>
                </w:rPr>
                <w:t>Karta oceny formalnej i punktowej</w:t>
              </w:r>
            </w:hyperlink>
          </w:p>
        </w:tc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alibri" w:hAnsi="Calibri" w:eastAsia="Times New Roman"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alibri" w:hAnsi="Calibri" w:eastAsia="Times New Roman"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</w:r>
          </w:p>
        </w:tc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alibri" w:hAnsi="Calibri" w:eastAsia="Times New Roman"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64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alibri" w:hAnsi="Calibri" w:eastAsia="Times New Roman"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</w:r>
          </w:p>
        </w:tc>
        <w:tc>
          <w:tcPr>
            <w:tcW w:w="53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Calibri" w:hAnsi="Calibri" w:eastAsia="Times New Roman" w:asciiTheme="minorHAnsi" w:hAnsiTheme="minorHAnsi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/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Calibri" w:hAnsi="Calibri" w:eastAsia="Times New Roman" w:asciiTheme="minorHAnsi" w:hAnsiTheme="minorHAnsi"/>
          <w:b/>
          <w:b/>
          <w:bCs/>
          <w:sz w:val="27"/>
          <w:szCs w:val="27"/>
          <w:lang w:eastAsia="pl-PL"/>
        </w:rPr>
      </w:pPr>
      <w:r>
        <w:rPr>
          <w:rFonts w:eastAsia="Times New Roman"/>
          <w:b/>
          <w:bCs/>
          <w:sz w:val="27"/>
          <w:szCs w:val="27"/>
          <w:lang w:eastAsia="pl-PL"/>
        </w:rPr>
        <w:t>Kontakt</w:t>
      </w:r>
    </w:p>
    <w:p>
      <w:pPr>
        <w:pStyle w:val="Normal"/>
        <w:spacing w:lineRule="auto" w:line="240" w:beforeAutospacing="1" w:afterAutospacing="1"/>
        <w:rPr>
          <w:rFonts w:ascii="Calibri" w:hAnsi="Calibri" w:eastAsia="Times New Roman" w:asciiTheme="minorHAnsi" w:hAnsiTheme="minorHAnsi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Biuro Projektu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"Porozumienie Zielonogórskie" Federacja Związków Pracodawców Ochrony Zdrowia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Ul. Aleja Niepodległości 16/10, 65-048 Zielona Góra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 xml:space="preserve">Specjalista ds. rekrutacji i organizacji szkoleń: 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Wojciech Nawrot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mail: w.nawrot@federacja-pz.pl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Theme="minorHAnsi" w:hAnsiTheme="minorHAnsi"/>
          <w:b/>
        </w:rPr>
        <w:t>tel. 531 037 008</w:t>
      </w:r>
    </w:p>
    <w:sectPr>
      <w:headerReference w:type="default" r:id="rId8"/>
      <w:footerReference w:type="default" r:id="rId9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110" w:leader="none"/>
      </w:tabs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9" wp14:anchorId="16070D5C">
              <wp:simplePos x="0" y="0"/>
              <wp:positionH relativeFrom="margin">
                <wp:posOffset>0</wp:posOffset>
              </wp:positionH>
              <wp:positionV relativeFrom="paragraph">
                <wp:posOffset>22225</wp:posOffset>
              </wp:positionV>
              <wp:extent cx="6620510" cy="10160"/>
              <wp:effectExtent l="0" t="0" r="28575" b="28575"/>
              <wp:wrapNone/>
              <wp:docPr id="6" name="Łącznik prosty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0040" cy="9360"/>
                      </a:xfrm>
                      <a:prstGeom prst="line">
                        <a:avLst/>
                      </a:prstGeom>
                      <a:ln w="1908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.4pt" to="521.2pt,2.1pt" ID="Łącznik prosty 4" stroked="t" style="position:absolute;mso-position-horizontal-relative:margin" wp14:anchorId="16070D5C">
              <v:stroke color="#5b9bd5" weight="19080" joinstyle="miter" endcap="flat"/>
              <v:fill o:detectmouseclick="t" on="false"/>
            </v:line>
          </w:pict>
        </mc:Fallback>
      </mc:AlternateContent>
      <w:drawing>
        <wp:anchor behindDoc="1" distT="0" distB="9525" distL="114300" distR="118110" simplePos="0" locked="0" layoutInCell="1" allowOverlap="1" relativeHeight="7">
          <wp:simplePos x="0" y="0"/>
          <wp:positionH relativeFrom="page">
            <wp:align>left</wp:align>
          </wp:positionH>
          <wp:positionV relativeFrom="paragraph">
            <wp:posOffset>23495</wp:posOffset>
          </wp:positionV>
          <wp:extent cx="7560310" cy="676275"/>
          <wp:effectExtent l="0" t="0" r="0" b="0"/>
          <wp:wrapNone/>
          <wp:docPr id="7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jc w:val="center"/>
      <w:rPr>
        <w:rFonts w:ascii="Calibri Light" w:hAnsi="Calibri Light" w:cs="Calibri Light" w:asciiTheme="majorHAnsi" w:cstheme="majorHAnsi" w:hAnsiTheme="majorHAnsi"/>
        <w:sz w:val="18"/>
        <w:szCs w:val="18"/>
      </w:rPr>
    </w:pPr>
    <w:r>
      <w:drawing>
        <wp:anchor behindDoc="0" distT="0" distB="2540" distL="114300" distR="114300" simplePos="0" locked="0" layoutInCell="1" allowOverlap="1" relativeHeight="5">
          <wp:simplePos x="0" y="0"/>
          <wp:positionH relativeFrom="page">
            <wp:posOffset>-40640</wp:posOffset>
          </wp:positionH>
          <wp:positionV relativeFrom="paragraph">
            <wp:posOffset>-243205</wp:posOffset>
          </wp:positionV>
          <wp:extent cx="7560310" cy="854710"/>
          <wp:effectExtent l="0" t="0" r="0" b="0"/>
          <wp:wrapTight wrapText="bothSides">
            <wp:wrapPolygon edited="0">
              <wp:start x="-15" y="0"/>
              <wp:lineTo x="-15" y="21164"/>
              <wp:lineTo x="21544" y="21164"/>
              <wp:lineTo x="21544" y="0"/>
              <wp:lineTo x="-15" y="0"/>
            </wp:wrapPolygon>
          </wp:wrapTight>
          <wp:docPr id="4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 Light" w:ascii="Calibri Light" w:hAnsi="Calibri Light" w:asciiTheme="majorHAnsi" w:cstheme="majorHAnsi" w:hAnsiTheme="majorHAnsi"/>
        <w:sz w:val="18"/>
        <w:szCs w:val="18"/>
      </w:rPr>
      <w:t>P</w:t>
    </w:r>
    <w:r>
      <w:rPr>
        <w:rFonts w:cs="Calibri Light" w:ascii="Calibri Light" w:hAnsi="Calibri Light" w:asciiTheme="majorHAnsi" w:cstheme="majorHAnsi" w:hAnsiTheme="majorHAnsi"/>
        <w:sz w:val="18"/>
        <w:szCs w:val="18"/>
      </w:rPr>
      <w:t xml:space="preserve">rojekt „Kompetencje dla rozwoju sektora ochrony zdrowia” w ramach Programu Operacyjnego Wiedza, Edukacja, Rozwój 2014-2020 współfinansowany jest ze środków Europejskiego Funduszu Społecznego. </w:t>
    </w:r>
    <w:r>
      <w:rPr>
        <w:rFonts w:eastAsia="Calibri" w:cs="Calibri Light" w:ascii="Calibri Light" w:hAnsi="Calibri Light" w:asciiTheme="majorHAnsi" w:cstheme="majorHAnsi" w:eastAsiaTheme="minorHAnsi" w:hAnsiTheme="majorHAnsi"/>
        <w:bCs/>
        <w:sz w:val="18"/>
        <w:szCs w:val="18"/>
      </w:rPr>
      <w:t>POWR.05.02.00-00-0047/16</w:t>
    </w:r>
    <w:r>
      <w:rPr>
        <w:rFonts w:cs="Calibri Light" w:ascii="Calibri Light" w:hAnsi="Calibri Light" w:asciiTheme="majorHAnsi" w:cstheme="majorHAnsi" w:hAnsiTheme="majorHAnsi"/>
        <w:sz w:val="18"/>
        <w:szCs w:val="18"/>
      </w:rPr>
      <w:br/>
    </w:r>
  </w:p>
  <w:p>
    <w:pPr>
      <w:pStyle w:val="PlainText"/>
      <w:spacing w:lineRule="auto" w:line="360"/>
      <w:rPr>
        <w:rFonts w:ascii="Calibri" w:hAnsi="Calibri" w:cs="Calibri" w:asciiTheme="minorHAnsi" w:cstheme="minorHAnsi" w:hAnsiTheme="minorHAnsi"/>
        <w:color w:val="323232"/>
        <w:sz w:val="26"/>
        <w:szCs w:val="26"/>
      </w:rPr>
    </w:pPr>
    <w:r>
      <w:rPr>
        <w:rFonts w:cs="Calibri" w:cstheme="minorHAnsi"/>
        <w:color w:val="323232"/>
        <w:sz w:val="26"/>
        <w:szCs w:val="26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6620510" cy="10160"/>
              <wp:effectExtent l="0" t="0" r="28575" b="28575"/>
              <wp:wrapNone/>
              <wp:docPr id="5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0040" cy="9360"/>
                      </a:xfrm>
                      <a:prstGeom prst="line">
                        <a:avLst/>
                      </a:prstGeom>
                      <a:ln w="1908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.25pt,4pt" to="511.95pt,4.7pt" ID="Łącznik prosty 3" stroked="t" style="position:absolute;mso-position-horizontal:right;mso-position-horizontal-relative:margin">
              <v:stroke color="#5b9bd5" weight="19080" joinstyle="miter" endcap="flat"/>
              <v:fill o:detectmouseclick="t" on="false"/>
            </v:line>
          </w:pict>
        </mc:Fallback>
      </mc:AlternateConten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4b8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08273c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08273c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d79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d791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a1731"/>
    <w:rPr>
      <w:rFonts w:ascii="Segoe UI" w:hAnsi="Segoe UI" w:cs="Segoe UI"/>
      <w:sz w:val="18"/>
      <w:szCs w:val="18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ff2de6"/>
    <w:rPr>
      <w:rFonts w:ascii="Calibri" w:hAnsi="Calibri"/>
      <w:szCs w:val="21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08273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08273c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Strong">
    <w:name w:val="Strong"/>
    <w:basedOn w:val="DefaultParagraphFont"/>
    <w:uiPriority w:val="22"/>
    <w:qFormat/>
    <w:rsid w:val="0008273c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08273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d79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d79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uiPriority w:val="99"/>
    <w:qFormat/>
    <w:rsid w:val="002d791c"/>
    <w:pPr>
      <w:spacing w:lineRule="auto" w:line="288" w:before="0" w:after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a173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ZwykytekstZnak"/>
    <w:uiPriority w:val="99"/>
    <w:unhideWhenUsed/>
    <w:qFormat/>
    <w:rsid w:val="00ff2de6"/>
    <w:pPr>
      <w:spacing w:lineRule="auto" w:line="240" w:before="0" w:after="0"/>
    </w:pPr>
    <w:rPr>
      <w:szCs w:val="21"/>
    </w:rPr>
  </w:style>
  <w:style w:type="paragraph" w:styleId="ListParagraph">
    <w:name w:val="List Paragraph"/>
    <w:basedOn w:val="Normal"/>
    <w:uiPriority w:val="99"/>
    <w:qFormat/>
    <w:rsid w:val="001b4b89"/>
    <w:pPr>
      <w:spacing w:before="0" w:after="200"/>
      <w:ind w:left="720" w:hanging="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qFormat/>
    <w:rsid w:val="0008273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uiPriority w:val="99"/>
    <w:qFormat/>
    <w:rsid w:val="0008273c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deracja-pz.pl/projekty/kompetencje/dokumenty/szkolenie1.docx" TargetMode="External"/><Relationship Id="rId3" Type="http://schemas.openxmlformats.org/officeDocument/2006/relationships/hyperlink" Target="http://www.federacja-pz.pl/projekty/kompetencje/dokumenty/szkolenie2.docx" TargetMode="External"/><Relationship Id="rId4" Type="http://schemas.openxmlformats.org/officeDocument/2006/relationships/hyperlink" Target="http://www.federacja-pz.pl/projekty/kompetencje/dokumenty/regulamin_rekrutacji_i_uczestnictwa.doc" TargetMode="External"/><Relationship Id="rId5" Type="http://schemas.openxmlformats.org/officeDocument/2006/relationships/hyperlink" Target="http://www.federacja-pz.pl/projekty/kompetencje/dokumenty/harmonogram_szkolen.doc" TargetMode="External"/><Relationship Id="rId6" Type="http://schemas.openxmlformats.org/officeDocument/2006/relationships/hyperlink" Target="http://www.federacja-pz.pl/projekty/kompetencje/dokumenty/formularz_rekrutacyjny.doc" TargetMode="External"/><Relationship Id="rId7" Type="http://schemas.openxmlformats.org/officeDocument/2006/relationships/hyperlink" Target="http://www.federacja-pz.pl/projekty/kompetencje/dokumenty/karta_oceny.doc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LibreOffice/5.4.1.2$Windows_x86 LibreOffice_project/ea7cb86e6eeb2bf3a5af73a8f7777ac570321527</Application>
  <Pages>2</Pages>
  <Words>248</Words>
  <Characters>1715</Characters>
  <CharactersWithSpaces>1937</CharactersWithSpaces>
  <Paragraphs>33</Paragraphs>
  <Company>Uczelnia Łazarskiego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2017-10-23T18:28:00Z</dcterms:created>
  <dc:creator>Małgorzata Siwa</dc:creator>
  <dc:description/>
  <dc:language>pl-PL</dc:language>
  <cp:lastModifiedBy>Porozumienie Zielonogórskie </cp:lastModifiedBy>
  <cp:lastPrinted>2017-07-05T09:45:00Z</cp:lastPrinted>
  <dcterms:modified xsi:type="dcterms:W3CDTF">2017-10-25T12:11:02Z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Uczelnia Łazarskiego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